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0" w:type="dxa"/>
        <w:tblInd w:w="41" w:type="dxa"/>
        <w:tblCellMar>
          <w:top w:w="119" w:type="dxa"/>
          <w:left w:w="9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920"/>
        <w:gridCol w:w="7410"/>
      </w:tblGrid>
      <w:tr w:rsidR="00140FCC" w14:paraId="2E11E821" w14:textId="77777777">
        <w:trPr>
          <w:trHeight w:val="1056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00993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b/>
                <w:color w:val="1B1919"/>
              </w:rPr>
              <w:t xml:space="preserve">Name 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C2771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color w:val="1B1919"/>
              </w:rPr>
              <w:t>DFMLC Best Paper Award</w:t>
            </w:r>
            <w:r>
              <w:rPr>
                <w:b/>
                <w:color w:val="1B1919"/>
              </w:rPr>
              <w:t xml:space="preserve"> </w:t>
            </w:r>
          </w:p>
        </w:tc>
      </w:tr>
      <w:tr w:rsidR="00140FCC" w14:paraId="722FEF38" w14:textId="77777777">
        <w:trPr>
          <w:trHeight w:val="1332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2F7CF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b/>
                <w:color w:val="1B1919"/>
              </w:rPr>
              <w:t xml:space="preserve">Criteria 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96E0F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color w:val="1B1919"/>
              </w:rPr>
              <w:t xml:space="preserve">Awarded to the best technical paper submitted to the DFMLC conference </w:t>
            </w:r>
          </w:p>
        </w:tc>
      </w:tr>
      <w:tr w:rsidR="00140FCC" w14:paraId="3304C315" w14:textId="77777777">
        <w:trPr>
          <w:trHeight w:val="1332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920BE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b/>
                <w:color w:val="1B1919"/>
              </w:rPr>
              <w:t xml:space="preserve">Application Process 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9DB08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color w:val="1B1919"/>
              </w:rPr>
              <w:t xml:space="preserve">Shortlisting of nominees based on recommendations from peer reviewers and majority voting by DFMLC technical committee members. Technical committee members with a conflict of interest abstain from voting. </w:t>
            </w:r>
          </w:p>
        </w:tc>
      </w:tr>
      <w:tr w:rsidR="00140FCC" w14:paraId="04DEF8C9" w14:textId="77777777">
        <w:trPr>
          <w:trHeight w:val="1333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CDC29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b/>
                <w:color w:val="1B1919"/>
              </w:rPr>
              <w:t xml:space="preserve">Frequency of Award 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7016F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color w:val="1B1919"/>
              </w:rPr>
              <w:t xml:space="preserve">Annual </w:t>
            </w:r>
          </w:p>
        </w:tc>
      </w:tr>
      <w:tr w:rsidR="00140FCC" w14:paraId="6D9A7F0F" w14:textId="77777777">
        <w:trPr>
          <w:trHeight w:val="1265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AFB5A" w14:textId="77777777" w:rsidR="00140FCC" w:rsidRDefault="003F4978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color w:val="1B1919"/>
              </w:rPr>
              <w:t xml:space="preserve">Form of Award 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99EB6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color w:val="1B1919"/>
              </w:rPr>
              <w:t xml:space="preserve">Wooden Plaque for Each Author and a Combined Honorarium ($1000) </w:t>
            </w:r>
          </w:p>
        </w:tc>
      </w:tr>
      <w:tr w:rsidR="00140FCC" w14:paraId="7340AC8C" w14:textId="77777777">
        <w:trPr>
          <w:trHeight w:val="1056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96593" w14:textId="77777777" w:rsidR="00140FCC" w:rsidRDefault="003F4978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color w:val="1B1919"/>
              </w:rPr>
              <w:t xml:space="preserve">Past Awardees 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A8D73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color w:val="1B1919"/>
              </w:rPr>
              <w:t xml:space="preserve"> </w:t>
            </w:r>
          </w:p>
          <w:p w14:paraId="68612E78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color w:val="1B1919"/>
              </w:rPr>
              <w:t xml:space="preserve">See table below </w:t>
            </w:r>
          </w:p>
        </w:tc>
      </w:tr>
    </w:tbl>
    <w:p w14:paraId="132879D6" w14:textId="77777777" w:rsidR="00140FCC" w:rsidRDefault="003F4978">
      <w:pPr>
        <w:spacing w:after="0" w:line="259" w:lineRule="auto"/>
        <w:ind w:left="0" w:firstLine="0"/>
        <w:jc w:val="both"/>
      </w:pPr>
      <w:r>
        <w:rPr>
          <w:b/>
          <w:color w:val="1B1919"/>
          <w:sz w:val="32"/>
        </w:rPr>
        <w:t xml:space="preserve"> </w:t>
      </w:r>
    </w:p>
    <w:tbl>
      <w:tblPr>
        <w:tblStyle w:val="TableGrid"/>
        <w:tblW w:w="9316" w:type="dxa"/>
        <w:tblInd w:w="10" w:type="dxa"/>
        <w:tblCellMar>
          <w:top w:w="117" w:type="dxa"/>
          <w:left w:w="101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766"/>
        <w:gridCol w:w="8550"/>
      </w:tblGrid>
      <w:tr w:rsidR="00140FCC" w14:paraId="44E99A5B" w14:textId="77777777">
        <w:trPr>
          <w:trHeight w:val="114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6CDB4" w14:textId="77777777" w:rsidR="00140FCC" w:rsidRDefault="003F4978">
            <w:pPr>
              <w:spacing w:after="0" w:line="259" w:lineRule="auto"/>
              <w:ind w:left="0" w:firstLine="0"/>
              <w:jc w:val="both"/>
            </w:pPr>
            <w:r>
              <w:rPr>
                <w:color w:val="1B1919"/>
              </w:rPr>
              <w:t xml:space="preserve">2023 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E2664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color w:val="222222"/>
                <w:sz w:val="20"/>
              </w:rPr>
              <w:t xml:space="preserve">Vernica, T., Aher, G., </w:t>
            </w:r>
            <w:proofErr w:type="spellStart"/>
            <w:r>
              <w:rPr>
                <w:color w:val="222222"/>
                <w:sz w:val="20"/>
              </w:rPr>
              <w:t>Veluri</w:t>
            </w:r>
            <w:proofErr w:type="spellEnd"/>
            <w:r>
              <w:rPr>
                <w:color w:val="222222"/>
                <w:sz w:val="20"/>
              </w:rPr>
              <w:t xml:space="preserve">, B., &amp; Ramanujan, D. (2023, August). LCAD: A Framework for </w:t>
            </w:r>
          </w:p>
          <w:p w14:paraId="2F33A66B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color w:val="222222"/>
                <w:sz w:val="20"/>
              </w:rPr>
              <w:t xml:space="preserve">Coupling Computer-Aided Design and Life Cycle Analysis Visualizations. In </w:t>
            </w:r>
            <w:r>
              <w:rPr>
                <w:i/>
                <w:color w:val="222222"/>
                <w:sz w:val="20"/>
              </w:rPr>
              <w:t xml:space="preserve">International </w:t>
            </w:r>
          </w:p>
          <w:p w14:paraId="6B841369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i/>
                <w:color w:val="222222"/>
                <w:sz w:val="20"/>
              </w:rPr>
              <w:t>Design Engineering Technical Conferences and Computers and Information in Engineering Conference</w:t>
            </w:r>
            <w:r>
              <w:rPr>
                <w:color w:val="222222"/>
                <w:sz w:val="20"/>
              </w:rPr>
              <w:t xml:space="preserve"> (Vol. 87332, p. V005T05A007). American Society of Mechanical Engineers.</w:t>
            </w:r>
            <w:r>
              <w:rPr>
                <w:color w:val="1B1919"/>
              </w:rPr>
              <w:t xml:space="preserve"> </w:t>
            </w:r>
          </w:p>
        </w:tc>
      </w:tr>
      <w:tr w:rsidR="00140FCC" w14:paraId="73CD04FE" w14:textId="77777777">
        <w:trPr>
          <w:trHeight w:val="114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36E99" w14:textId="77777777" w:rsidR="00140FCC" w:rsidRDefault="003F4978">
            <w:pPr>
              <w:spacing w:after="0" w:line="259" w:lineRule="auto"/>
              <w:ind w:left="0" w:firstLine="0"/>
              <w:jc w:val="both"/>
            </w:pPr>
            <w:r>
              <w:rPr>
                <w:color w:val="1B1919"/>
              </w:rPr>
              <w:t xml:space="preserve">2022 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6BFBE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color w:val="222222"/>
                <w:sz w:val="20"/>
              </w:rPr>
              <w:t xml:space="preserve">Albor, G., </w:t>
            </w:r>
            <w:proofErr w:type="spellStart"/>
            <w:r>
              <w:rPr>
                <w:color w:val="222222"/>
                <w:sz w:val="20"/>
              </w:rPr>
              <w:t>Mirkouei</w:t>
            </w:r>
            <w:proofErr w:type="spellEnd"/>
            <w:r>
              <w:rPr>
                <w:color w:val="222222"/>
                <w:sz w:val="20"/>
              </w:rPr>
              <w:t>, A., &amp; Struhs, E. (2022, August). Mixed Plastic Waste Conversion to Value-</w:t>
            </w:r>
          </w:p>
          <w:p w14:paraId="6736C5E5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color w:val="222222"/>
                <w:sz w:val="20"/>
              </w:rPr>
              <w:t xml:space="preserve">Added Products: Sustainability Assessment and a Case Study in Idaho. In </w:t>
            </w:r>
            <w:r>
              <w:rPr>
                <w:i/>
                <w:color w:val="222222"/>
                <w:sz w:val="20"/>
              </w:rPr>
              <w:t xml:space="preserve">International </w:t>
            </w:r>
          </w:p>
          <w:p w14:paraId="3B52D548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i/>
                <w:color w:val="222222"/>
                <w:sz w:val="20"/>
              </w:rPr>
              <w:t>Design Engineering Technical Conferences and Computers and Information in Engineering Conference</w:t>
            </w:r>
            <w:r>
              <w:rPr>
                <w:color w:val="222222"/>
                <w:sz w:val="20"/>
              </w:rPr>
              <w:t xml:space="preserve"> (Vol. 86250, p. V005T05A014). American Society of Mechanical Engineers.</w:t>
            </w:r>
            <w:r>
              <w:rPr>
                <w:color w:val="1B1919"/>
              </w:rPr>
              <w:t xml:space="preserve"> </w:t>
            </w:r>
          </w:p>
        </w:tc>
      </w:tr>
      <w:tr w:rsidR="00140FCC" w14:paraId="4CBF797C" w14:textId="77777777">
        <w:trPr>
          <w:trHeight w:val="1371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57C50" w14:textId="77777777" w:rsidR="00140FCC" w:rsidRDefault="003F4978">
            <w:pPr>
              <w:spacing w:after="0" w:line="259" w:lineRule="auto"/>
              <w:ind w:left="0" w:firstLine="0"/>
              <w:jc w:val="both"/>
            </w:pPr>
            <w:r>
              <w:rPr>
                <w:color w:val="1B1919"/>
              </w:rPr>
              <w:t xml:space="preserve">2021 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EBC3D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color w:val="222222"/>
                <w:sz w:val="20"/>
              </w:rPr>
              <w:t xml:space="preserve">Johnson, G. E., Fisher, M. J., Salmon, J. L., &amp; Mattson, C. A. (2021, August). Product </w:t>
            </w:r>
          </w:p>
          <w:p w14:paraId="57484C52" w14:textId="77777777" w:rsidR="00140FCC" w:rsidRDefault="003F4978">
            <w:pPr>
              <w:spacing w:after="38" w:line="240" w:lineRule="auto"/>
              <w:ind w:left="0" w:firstLine="0"/>
            </w:pPr>
            <w:r>
              <w:rPr>
                <w:color w:val="222222"/>
                <w:sz w:val="20"/>
              </w:rPr>
              <w:t xml:space="preserve">Development Using Perceived Correlations Between the United Nations Sustainable Development Goals and Social Impact Categories. In </w:t>
            </w:r>
            <w:r>
              <w:rPr>
                <w:i/>
                <w:color w:val="222222"/>
                <w:sz w:val="20"/>
              </w:rPr>
              <w:t>International Design Engineering Technical Conferences and Computers and Information in Engineering Conference</w:t>
            </w:r>
            <w:r>
              <w:rPr>
                <w:color w:val="222222"/>
                <w:sz w:val="20"/>
              </w:rPr>
              <w:t xml:space="preserve"> (Vol. </w:t>
            </w:r>
          </w:p>
          <w:p w14:paraId="0BA4CFAB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color w:val="222222"/>
                <w:sz w:val="20"/>
              </w:rPr>
              <w:t>85413, p. V005T05A028). American Society of Mechanical Engineers.</w:t>
            </w:r>
            <w:r>
              <w:rPr>
                <w:color w:val="1B1919"/>
              </w:rPr>
              <w:t xml:space="preserve"> </w:t>
            </w:r>
          </w:p>
        </w:tc>
      </w:tr>
      <w:tr w:rsidR="00140FCC" w14:paraId="5202911B" w14:textId="77777777">
        <w:trPr>
          <w:trHeight w:val="91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463E2" w14:textId="77777777" w:rsidR="00140FCC" w:rsidRDefault="003F4978">
            <w:pPr>
              <w:spacing w:after="0" w:line="259" w:lineRule="auto"/>
              <w:ind w:left="0" w:firstLine="0"/>
              <w:jc w:val="both"/>
            </w:pPr>
            <w:r>
              <w:rPr>
                <w:color w:val="1B1919"/>
              </w:rPr>
              <w:lastRenderedPageBreak/>
              <w:t xml:space="preserve">2020 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8CD24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color w:val="222222"/>
                <w:sz w:val="20"/>
              </w:rPr>
              <w:t xml:space="preserve">Thoft Krogshave, J., Boettjer, T., &amp; Ramanujan, D. (2020, August). Machine-specific energy estimation using the unit process life cycle inventory (UPLCI) model. In </w:t>
            </w:r>
            <w:r>
              <w:rPr>
                <w:i/>
                <w:color w:val="222222"/>
                <w:sz w:val="20"/>
              </w:rPr>
              <w:t xml:space="preserve">International Design Engineering Technical Conferences and Computers and Information in Engineering </w:t>
            </w:r>
          </w:p>
        </w:tc>
      </w:tr>
    </w:tbl>
    <w:p w14:paraId="47858709" w14:textId="77777777" w:rsidR="00140FCC" w:rsidRDefault="00140FCC">
      <w:pPr>
        <w:spacing w:after="0" w:line="259" w:lineRule="auto"/>
        <w:ind w:left="-1440" w:right="10738" w:firstLine="0"/>
      </w:pPr>
    </w:p>
    <w:tbl>
      <w:tblPr>
        <w:tblStyle w:val="TableGrid"/>
        <w:tblW w:w="9316" w:type="dxa"/>
        <w:tblInd w:w="10" w:type="dxa"/>
        <w:tblCellMar>
          <w:top w:w="115" w:type="dxa"/>
          <w:left w:w="101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766"/>
        <w:gridCol w:w="8550"/>
      </w:tblGrid>
      <w:tr w:rsidR="00140FCC" w14:paraId="3DF8396A" w14:textId="77777777">
        <w:trPr>
          <w:trHeight w:val="449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A3005" w14:textId="77777777" w:rsidR="00140FCC" w:rsidRDefault="00140FCC">
            <w:pPr>
              <w:spacing w:after="160" w:line="259" w:lineRule="auto"/>
              <w:ind w:left="0" w:firstLine="0"/>
            </w:pP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12227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i/>
                <w:color w:val="222222"/>
                <w:sz w:val="20"/>
              </w:rPr>
              <w:t>Conference</w:t>
            </w:r>
            <w:r>
              <w:rPr>
                <w:color w:val="222222"/>
                <w:sz w:val="20"/>
              </w:rPr>
              <w:t xml:space="preserve"> (Vol. 83952, p. V006T06A031). American Society of Mechanical Engineers.</w:t>
            </w:r>
            <w:r>
              <w:rPr>
                <w:color w:val="1B1919"/>
              </w:rPr>
              <w:t xml:space="preserve"> </w:t>
            </w:r>
          </w:p>
        </w:tc>
      </w:tr>
      <w:tr w:rsidR="00140FCC" w14:paraId="0FF94C69" w14:textId="77777777">
        <w:trPr>
          <w:trHeight w:val="137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F6C19" w14:textId="77777777" w:rsidR="00140FCC" w:rsidRDefault="003F4978">
            <w:pPr>
              <w:spacing w:after="0" w:line="259" w:lineRule="auto"/>
              <w:ind w:left="0" w:firstLine="0"/>
              <w:jc w:val="both"/>
            </w:pPr>
            <w:r>
              <w:rPr>
                <w:color w:val="1B1919"/>
              </w:rPr>
              <w:t xml:space="preserve">2019 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2FE0F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color w:val="222222"/>
                <w:sz w:val="20"/>
              </w:rPr>
              <w:t xml:space="preserve">Gopalakrishnan, P. K., Cavallaro, J., </w:t>
            </w:r>
            <w:proofErr w:type="spellStart"/>
            <w:r>
              <w:rPr>
                <w:color w:val="222222"/>
                <w:sz w:val="20"/>
              </w:rPr>
              <w:t>Jahanbekam</w:t>
            </w:r>
            <w:proofErr w:type="spellEnd"/>
            <w:r>
              <w:rPr>
                <w:color w:val="222222"/>
                <w:sz w:val="20"/>
              </w:rPr>
              <w:t xml:space="preserve">, S., &amp; Behdad, S. (2019, August). A graph coloring technique for identifying the minimum number of parts for physical integration in product design. In </w:t>
            </w:r>
            <w:r>
              <w:rPr>
                <w:i/>
                <w:color w:val="222222"/>
                <w:sz w:val="20"/>
              </w:rPr>
              <w:t>International Design Engineering Technical Conferences and Computers and Information in Engineering Conference</w:t>
            </w:r>
            <w:r>
              <w:rPr>
                <w:color w:val="222222"/>
                <w:sz w:val="20"/>
              </w:rPr>
              <w:t xml:space="preserve"> (Vol. 59223, p. V004T05A004). American Society of Mechanical Engineers.</w:t>
            </w:r>
            <w:r>
              <w:rPr>
                <w:color w:val="1B1919"/>
              </w:rPr>
              <w:t xml:space="preserve"> </w:t>
            </w:r>
          </w:p>
        </w:tc>
      </w:tr>
      <w:tr w:rsidR="00140FCC" w14:paraId="3B5CF4F3" w14:textId="77777777">
        <w:trPr>
          <w:trHeight w:val="114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50C24" w14:textId="77777777" w:rsidR="00140FCC" w:rsidRDefault="003F4978">
            <w:pPr>
              <w:spacing w:after="0" w:line="259" w:lineRule="auto"/>
              <w:ind w:left="0" w:firstLine="0"/>
              <w:jc w:val="both"/>
            </w:pPr>
            <w:r>
              <w:rPr>
                <w:color w:val="1B1919"/>
              </w:rPr>
              <w:t xml:space="preserve">2018 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FC386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color w:val="222222"/>
                <w:sz w:val="20"/>
              </w:rPr>
              <w:t xml:space="preserve">Yang, S., Page, T., &amp; Zhao, Y. F. (2019). Understanding the role of additive manufacturing knowledge in stimulating design innovation for novice designers. In </w:t>
            </w:r>
            <w:r>
              <w:rPr>
                <w:i/>
                <w:color w:val="222222"/>
                <w:sz w:val="20"/>
              </w:rPr>
              <w:t>International Design Engineering Technical Conferences and Computers and Information in Engineering Conference</w:t>
            </w:r>
            <w:r>
              <w:rPr>
                <w:color w:val="222222"/>
                <w:sz w:val="20"/>
              </w:rPr>
              <w:t xml:space="preserve">. American Society of Mechanical Engineers. </w:t>
            </w:r>
          </w:p>
        </w:tc>
      </w:tr>
      <w:tr w:rsidR="00140FCC" w14:paraId="5A1AC0B1" w14:textId="77777777">
        <w:trPr>
          <w:trHeight w:val="1371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DDF1F" w14:textId="77777777" w:rsidR="00140FCC" w:rsidRDefault="003F4978">
            <w:pPr>
              <w:spacing w:after="0" w:line="259" w:lineRule="auto"/>
              <w:ind w:left="0" w:firstLine="0"/>
              <w:jc w:val="both"/>
            </w:pPr>
            <w:r>
              <w:rPr>
                <w:color w:val="1B1919"/>
              </w:rPr>
              <w:t xml:space="preserve">2017 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5A818" w14:textId="77777777" w:rsidR="00140FCC" w:rsidRDefault="003F4978">
            <w:pPr>
              <w:spacing w:after="0" w:line="259" w:lineRule="auto"/>
              <w:ind w:left="0" w:firstLine="0"/>
            </w:pPr>
            <w:proofErr w:type="spellStart"/>
            <w:r>
              <w:rPr>
                <w:color w:val="222222"/>
                <w:sz w:val="20"/>
              </w:rPr>
              <w:t>Raihanian</w:t>
            </w:r>
            <w:proofErr w:type="spellEnd"/>
            <w:r>
              <w:rPr>
                <w:color w:val="222222"/>
                <w:sz w:val="20"/>
              </w:rPr>
              <w:t xml:space="preserve"> Mashhadi, A., &amp; Behdad, S. (2017, August). Demystifying the Relationship </w:t>
            </w:r>
          </w:p>
          <w:p w14:paraId="299E4FB3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color w:val="222222"/>
                <w:sz w:val="20"/>
              </w:rPr>
              <w:t>Between Use-</w:t>
            </w:r>
            <w:r>
              <w:rPr>
                <w:color w:val="222222"/>
                <w:sz w:val="20"/>
              </w:rPr>
              <w:t xml:space="preserve">Phase Attributes and Energy Consumption: A Case Study of Personal </w:t>
            </w:r>
          </w:p>
          <w:p w14:paraId="39645B99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color w:val="222222"/>
                <w:sz w:val="20"/>
              </w:rPr>
              <w:t xml:space="preserve">Computers. In </w:t>
            </w:r>
            <w:r>
              <w:rPr>
                <w:i/>
                <w:color w:val="222222"/>
                <w:sz w:val="20"/>
              </w:rPr>
              <w:t>International Design Engineering Technical Conferences and Computers and Information in Engineering Conference</w:t>
            </w:r>
            <w:r>
              <w:rPr>
                <w:color w:val="222222"/>
                <w:sz w:val="20"/>
              </w:rPr>
              <w:t xml:space="preserve"> (Vol. 58165, p. V004T05A020). American Society of Mechanical Engineers.</w:t>
            </w:r>
            <w:r>
              <w:rPr>
                <w:color w:val="1B1919"/>
              </w:rPr>
              <w:t xml:space="preserve"> </w:t>
            </w:r>
          </w:p>
        </w:tc>
      </w:tr>
      <w:tr w:rsidR="00140FCC" w14:paraId="1EC8F0E9" w14:textId="77777777">
        <w:trPr>
          <w:trHeight w:val="137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F2469" w14:textId="77777777" w:rsidR="00140FCC" w:rsidRDefault="003F4978">
            <w:pPr>
              <w:spacing w:after="0" w:line="259" w:lineRule="auto"/>
              <w:ind w:left="0" w:firstLine="0"/>
              <w:jc w:val="both"/>
            </w:pPr>
            <w:r>
              <w:rPr>
                <w:color w:val="1B1919"/>
              </w:rPr>
              <w:t xml:space="preserve">2016 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4AF62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color w:val="222222"/>
                <w:sz w:val="20"/>
              </w:rPr>
              <w:t xml:space="preserve">Smullin, M. M., Haapala, K. R., Mani, M., &amp; Morris, K. C. (2016, August). Using industry focus groups and literature review to identify challenges in sustainable assessment theory and practice. In </w:t>
            </w:r>
            <w:r>
              <w:rPr>
                <w:i/>
                <w:color w:val="222222"/>
                <w:sz w:val="20"/>
              </w:rPr>
              <w:t>International Design Engineering Technical Conferences and Computers and Information in Engineering Conference</w:t>
            </w:r>
            <w:r>
              <w:rPr>
                <w:color w:val="222222"/>
                <w:sz w:val="20"/>
              </w:rPr>
              <w:t xml:space="preserve"> (Vol. 50145, p. V004T05A048). American Society of Mechanical Engineers.</w:t>
            </w:r>
            <w:r>
              <w:rPr>
                <w:color w:val="1B1919"/>
              </w:rPr>
              <w:t xml:space="preserve"> </w:t>
            </w:r>
          </w:p>
        </w:tc>
      </w:tr>
      <w:tr w:rsidR="00140FCC" w14:paraId="44266CFA" w14:textId="77777777">
        <w:trPr>
          <w:trHeight w:val="137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ED7DD" w14:textId="77777777" w:rsidR="00140FCC" w:rsidRDefault="003F4978">
            <w:pPr>
              <w:spacing w:after="0" w:line="259" w:lineRule="auto"/>
              <w:ind w:left="0" w:firstLine="0"/>
              <w:jc w:val="both"/>
            </w:pPr>
            <w:r>
              <w:rPr>
                <w:color w:val="1B1919"/>
              </w:rPr>
              <w:t xml:space="preserve">2015 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BFC20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color w:val="222222"/>
                <w:sz w:val="20"/>
              </w:rPr>
              <w:t xml:space="preserve">Garretson, I. C., Lyons, K. W., Mani, M., Leong, S., Carter, M. D., Simmons, A. E., &amp; Haapala, </w:t>
            </w:r>
          </w:p>
          <w:p w14:paraId="4F440C00" w14:textId="77777777" w:rsidR="00140FCC" w:rsidRDefault="003F4978">
            <w:pPr>
              <w:spacing w:after="37" w:line="241" w:lineRule="auto"/>
              <w:ind w:left="0" w:firstLine="0"/>
            </w:pPr>
            <w:r>
              <w:rPr>
                <w:color w:val="222222"/>
                <w:sz w:val="20"/>
              </w:rPr>
              <w:t xml:space="preserve">K. R. (2015, August). Unit Manufacturing Process Models for Ferromagnetic and </w:t>
            </w:r>
            <w:proofErr w:type="spellStart"/>
            <w:r>
              <w:rPr>
                <w:color w:val="222222"/>
                <w:sz w:val="20"/>
              </w:rPr>
              <w:t>NonFerromagnetic</w:t>
            </w:r>
            <w:proofErr w:type="spellEnd"/>
            <w:r>
              <w:rPr>
                <w:color w:val="222222"/>
                <w:sz w:val="20"/>
              </w:rPr>
              <w:t xml:space="preserve"> Alloy Surface Inspection Methods. In </w:t>
            </w:r>
            <w:r>
              <w:rPr>
                <w:i/>
                <w:color w:val="222222"/>
                <w:sz w:val="20"/>
              </w:rPr>
              <w:t>International Design Engineering Technical Conferences and Computers and Information in Engineering Conference</w:t>
            </w:r>
            <w:r>
              <w:rPr>
                <w:color w:val="222222"/>
                <w:sz w:val="20"/>
              </w:rPr>
              <w:t xml:space="preserve"> (Vol. </w:t>
            </w:r>
          </w:p>
          <w:p w14:paraId="008D3492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color w:val="222222"/>
                <w:sz w:val="20"/>
              </w:rPr>
              <w:t>57113, p. V004T05A044). American Society of Mechanical Engineers.</w:t>
            </w:r>
            <w:r>
              <w:rPr>
                <w:color w:val="1B1919"/>
              </w:rPr>
              <w:t xml:space="preserve"> </w:t>
            </w:r>
          </w:p>
        </w:tc>
      </w:tr>
      <w:tr w:rsidR="00140FCC" w14:paraId="43B0432A" w14:textId="77777777">
        <w:trPr>
          <w:trHeight w:val="495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F858C" w14:textId="77777777" w:rsidR="00140FCC" w:rsidRDefault="003F4978">
            <w:pPr>
              <w:spacing w:after="0" w:line="259" w:lineRule="auto"/>
              <w:ind w:left="0" w:firstLine="0"/>
              <w:jc w:val="both"/>
            </w:pPr>
            <w:r>
              <w:rPr>
                <w:color w:val="1B1919"/>
              </w:rPr>
              <w:t xml:space="preserve">2014 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2F8D0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color w:val="1B1919"/>
              </w:rPr>
              <w:t xml:space="preserve">To be added </w:t>
            </w:r>
          </w:p>
        </w:tc>
      </w:tr>
      <w:tr w:rsidR="00140FCC" w14:paraId="09548A36" w14:textId="77777777">
        <w:trPr>
          <w:trHeight w:val="137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D88E8" w14:textId="77777777" w:rsidR="00140FCC" w:rsidRDefault="003F4978">
            <w:pPr>
              <w:spacing w:after="0" w:line="259" w:lineRule="auto"/>
              <w:ind w:left="0" w:firstLine="0"/>
              <w:jc w:val="both"/>
            </w:pPr>
            <w:r>
              <w:rPr>
                <w:color w:val="1B1919"/>
              </w:rPr>
              <w:t xml:space="preserve">2013 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A26A4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color w:val="222222"/>
                <w:sz w:val="20"/>
              </w:rPr>
              <w:t xml:space="preserve">Ramanujan, D., Benjamin, W., Bernstein, W. Z., Elmqvist, N., &amp; Ramani, K. (2013, August). </w:t>
            </w:r>
          </w:p>
          <w:p w14:paraId="4DB92CCE" w14:textId="77777777" w:rsidR="00140FCC" w:rsidRDefault="003F4978">
            <w:pPr>
              <w:spacing w:after="0" w:line="259" w:lineRule="auto"/>
              <w:ind w:left="0" w:firstLine="0"/>
            </w:pPr>
            <w:proofErr w:type="spellStart"/>
            <w:r>
              <w:rPr>
                <w:color w:val="222222"/>
                <w:sz w:val="20"/>
              </w:rPr>
              <w:t>ShapeSIFT</w:t>
            </w:r>
            <w:proofErr w:type="spellEnd"/>
            <w:r>
              <w:rPr>
                <w:color w:val="222222"/>
                <w:sz w:val="20"/>
              </w:rPr>
              <w:t xml:space="preserve">: Suggesting sustainable options in design reuse from part repositories. In </w:t>
            </w:r>
          </w:p>
          <w:p w14:paraId="53F8C2C3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i/>
                <w:color w:val="222222"/>
                <w:sz w:val="20"/>
              </w:rPr>
              <w:t>International Design Engineering Technical Conferences and Computers and Information in Engineering Conference</w:t>
            </w:r>
            <w:r>
              <w:rPr>
                <w:color w:val="222222"/>
                <w:sz w:val="20"/>
              </w:rPr>
              <w:t xml:space="preserve"> (Vol. 55911, p. V004T05A041). American Society of Mechanical Engineers.</w:t>
            </w:r>
            <w:r>
              <w:rPr>
                <w:color w:val="1B1919"/>
              </w:rPr>
              <w:t xml:space="preserve"> </w:t>
            </w:r>
          </w:p>
        </w:tc>
      </w:tr>
      <w:tr w:rsidR="00140FCC" w14:paraId="414F944F" w14:textId="77777777">
        <w:trPr>
          <w:trHeight w:val="137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6E527" w14:textId="77777777" w:rsidR="00140FCC" w:rsidRDefault="003F4978">
            <w:pPr>
              <w:spacing w:after="0" w:line="259" w:lineRule="auto"/>
              <w:ind w:left="0" w:firstLine="0"/>
              <w:jc w:val="both"/>
            </w:pPr>
            <w:r>
              <w:rPr>
                <w:color w:val="1B1919"/>
              </w:rPr>
              <w:lastRenderedPageBreak/>
              <w:t xml:space="preserve">2012 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1D11A" w14:textId="77777777" w:rsidR="00140FCC" w:rsidRDefault="003F4978">
            <w:pPr>
              <w:spacing w:after="0" w:line="259" w:lineRule="auto"/>
              <w:ind w:left="0" w:right="46" w:firstLine="0"/>
            </w:pPr>
            <w:r>
              <w:rPr>
                <w:color w:val="222222"/>
                <w:sz w:val="20"/>
              </w:rPr>
              <w:t xml:space="preserve">Esterman Jr, M., Fumagalli, M. E., Thorn, B., &amp; Babbitt, C. (2012, August). A framework for the integration of system engineering and functional analysis techniques to the goal and scope of life cycle assessment. In </w:t>
            </w:r>
            <w:r>
              <w:rPr>
                <w:i/>
                <w:color w:val="222222"/>
                <w:sz w:val="20"/>
              </w:rPr>
              <w:t>International Design Engineering Technical Conferences and Computers and Information in Engineering Conference</w:t>
            </w:r>
            <w:r>
              <w:rPr>
                <w:color w:val="222222"/>
                <w:sz w:val="20"/>
              </w:rPr>
              <w:t xml:space="preserve"> (Vol. 45042, pp. 777-787). American Society of Mechanical Engineers.</w:t>
            </w:r>
            <w:r>
              <w:rPr>
                <w:color w:val="1B1919"/>
              </w:rPr>
              <w:t xml:space="preserve"> </w:t>
            </w:r>
          </w:p>
        </w:tc>
      </w:tr>
      <w:tr w:rsidR="00140FCC" w14:paraId="281B6024" w14:textId="77777777">
        <w:trPr>
          <w:trHeight w:val="497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96794" w14:textId="77777777" w:rsidR="00140FCC" w:rsidRDefault="003F4978">
            <w:pPr>
              <w:spacing w:after="0" w:line="259" w:lineRule="auto"/>
              <w:ind w:left="0" w:firstLine="0"/>
              <w:jc w:val="both"/>
            </w:pPr>
            <w:r>
              <w:rPr>
                <w:color w:val="1B1919"/>
              </w:rPr>
              <w:t xml:space="preserve">2011 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75A2E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color w:val="1B1919"/>
              </w:rPr>
              <w:t xml:space="preserve">To be added </w:t>
            </w:r>
          </w:p>
        </w:tc>
      </w:tr>
      <w:tr w:rsidR="00140FCC" w14:paraId="4D8BAF13" w14:textId="77777777">
        <w:trPr>
          <w:trHeight w:val="1138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41F38" w14:textId="77777777" w:rsidR="00140FCC" w:rsidRDefault="003F4978">
            <w:pPr>
              <w:spacing w:after="0" w:line="259" w:lineRule="auto"/>
              <w:ind w:left="0" w:firstLine="0"/>
              <w:jc w:val="both"/>
            </w:pPr>
            <w:r>
              <w:rPr>
                <w:color w:val="1B1919"/>
              </w:rPr>
              <w:t xml:space="preserve">2010 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E6E86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color w:val="222222"/>
                <w:sz w:val="20"/>
              </w:rPr>
              <w:t xml:space="preserve">Zhao, Y., &amp; Thurston, D. (2010, January). Integrating end-of-life and initial profit </w:t>
            </w:r>
          </w:p>
          <w:p w14:paraId="1C92F9F3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color w:val="222222"/>
                <w:sz w:val="20"/>
              </w:rPr>
              <w:t xml:space="preserve">considerations in product life cycle design. In </w:t>
            </w:r>
            <w:r>
              <w:rPr>
                <w:i/>
                <w:color w:val="222222"/>
                <w:sz w:val="20"/>
              </w:rPr>
              <w:t xml:space="preserve">International Design Engineering Technical Conferences and Computers and Information in Engineering </w:t>
            </w:r>
            <w:proofErr w:type="gramStart"/>
            <w:r>
              <w:rPr>
                <w:i/>
                <w:color w:val="222222"/>
                <w:sz w:val="20"/>
              </w:rPr>
              <w:t>Conference</w:t>
            </w:r>
            <w:r>
              <w:rPr>
                <w:color w:val="222222"/>
                <w:sz w:val="20"/>
              </w:rPr>
              <w:t>(</w:t>
            </w:r>
            <w:proofErr w:type="gramEnd"/>
            <w:r>
              <w:rPr>
                <w:color w:val="222222"/>
                <w:sz w:val="20"/>
              </w:rPr>
              <w:t>Vol. 44144, pp. 435447).</w:t>
            </w:r>
            <w:r>
              <w:rPr>
                <w:color w:val="1B1919"/>
              </w:rPr>
              <w:t xml:space="preserve"> </w:t>
            </w:r>
          </w:p>
        </w:tc>
      </w:tr>
      <w:tr w:rsidR="00140FCC" w14:paraId="444F4E05" w14:textId="77777777">
        <w:trPr>
          <w:trHeight w:val="912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856E7" w14:textId="77777777" w:rsidR="00140FCC" w:rsidRDefault="003F4978">
            <w:pPr>
              <w:spacing w:after="0" w:line="259" w:lineRule="auto"/>
              <w:ind w:left="0" w:firstLine="0"/>
              <w:jc w:val="both"/>
            </w:pPr>
            <w:r>
              <w:rPr>
                <w:color w:val="1B1919"/>
              </w:rPr>
              <w:t xml:space="preserve">2009 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A9E14" w14:textId="77777777" w:rsidR="00140FCC" w:rsidRDefault="003F4978">
            <w:pPr>
              <w:spacing w:after="0" w:line="259" w:lineRule="auto"/>
              <w:ind w:left="0" w:firstLine="0"/>
            </w:pPr>
            <w:r>
              <w:rPr>
                <w:color w:val="222222"/>
                <w:sz w:val="20"/>
              </w:rPr>
              <w:t xml:space="preserve">Zhao, Y., Pandey, V., Kim, H., &amp; Thurston, D. (2009, January). Varying lifecycle lengths within a portfolio for product take-back. In </w:t>
            </w:r>
            <w:r>
              <w:rPr>
                <w:i/>
                <w:color w:val="222222"/>
                <w:sz w:val="20"/>
              </w:rPr>
              <w:t>International Design Engineering Technical Conferences and Computers and Information in Engineering Conference</w:t>
            </w:r>
            <w:r>
              <w:rPr>
                <w:color w:val="222222"/>
                <w:sz w:val="20"/>
              </w:rPr>
              <w:t xml:space="preserve"> (Vol. 49057, pp. 323-335).</w:t>
            </w:r>
            <w:r>
              <w:rPr>
                <w:color w:val="1B1919"/>
              </w:rPr>
              <w:t xml:space="preserve"> </w:t>
            </w:r>
          </w:p>
        </w:tc>
      </w:tr>
    </w:tbl>
    <w:p w14:paraId="11356227" w14:textId="3C7B8C92" w:rsidR="00140FCC" w:rsidRDefault="003F4978" w:rsidP="003F4978">
      <w:pPr>
        <w:spacing w:after="252" w:line="259" w:lineRule="auto"/>
        <w:ind w:left="0" w:firstLine="0"/>
      </w:pPr>
      <w:r>
        <w:rPr>
          <w:b/>
          <w:sz w:val="32"/>
        </w:rPr>
        <w:t xml:space="preserve"> </w:t>
      </w:r>
    </w:p>
    <w:sectPr w:rsidR="00140FCC">
      <w:pgSz w:w="12240" w:h="15840"/>
      <w:pgMar w:top="1450" w:right="1502" w:bottom="15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FCC"/>
    <w:rsid w:val="00140FCC"/>
    <w:rsid w:val="003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89654"/>
  <w15:docId w15:val="{BDDC998C-AB7C-4A27-9957-D7B053DE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9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Zlatnik</dc:creator>
  <cp:keywords/>
  <cp:lastModifiedBy>Barbara Zlatnik</cp:lastModifiedBy>
  <cp:revision>2</cp:revision>
  <cp:lastPrinted>2024-01-08T15:54:00Z</cp:lastPrinted>
  <dcterms:created xsi:type="dcterms:W3CDTF">2024-01-08T15:54:00Z</dcterms:created>
  <dcterms:modified xsi:type="dcterms:W3CDTF">2024-01-08T15:54:00Z</dcterms:modified>
</cp:coreProperties>
</file>