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0" w:type="dxa"/>
        <w:tblInd w:w="41" w:type="dxa"/>
        <w:tblCellMar>
          <w:top w:w="119" w:type="dxa"/>
          <w:left w:w="9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920"/>
        <w:gridCol w:w="7410"/>
      </w:tblGrid>
      <w:tr w:rsidR="00140FCC" w14:paraId="2E11E821" w14:textId="77777777">
        <w:trPr>
          <w:trHeight w:val="1056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0993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b/>
                <w:color w:val="1B1919"/>
              </w:rPr>
              <w:t xml:space="preserve">Name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C2771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>DFMLC Best Paper Award</w:t>
            </w:r>
            <w:r>
              <w:rPr>
                <w:b/>
                <w:color w:val="1B1919"/>
              </w:rPr>
              <w:t xml:space="preserve"> </w:t>
            </w:r>
          </w:p>
        </w:tc>
      </w:tr>
      <w:tr w:rsidR="00140FCC" w14:paraId="722FEF38" w14:textId="77777777">
        <w:trPr>
          <w:trHeight w:val="133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F7CF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b/>
                <w:color w:val="1B1919"/>
              </w:rPr>
              <w:t xml:space="preserve">Criteria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6E0F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Awarded to the best technical paper submitted to the DFMLC conference </w:t>
            </w:r>
          </w:p>
        </w:tc>
      </w:tr>
      <w:tr w:rsidR="00140FCC" w14:paraId="3304C315" w14:textId="77777777">
        <w:trPr>
          <w:trHeight w:val="133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20BE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b/>
                <w:color w:val="1B1919"/>
              </w:rPr>
              <w:t xml:space="preserve">Application Process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9DB08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Shortlisting of nominees based on recommendations from peer reviewers and majority voting by DFMLC technical committee members. Technical committee members with a conflict of interest abstain from voting. </w:t>
            </w:r>
          </w:p>
        </w:tc>
      </w:tr>
      <w:tr w:rsidR="00140FCC" w14:paraId="04DEF8C9" w14:textId="77777777">
        <w:trPr>
          <w:trHeight w:val="133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DC29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b/>
                <w:color w:val="1B1919"/>
              </w:rPr>
              <w:t xml:space="preserve">Frequency of Award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016F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Annual </w:t>
            </w:r>
          </w:p>
        </w:tc>
      </w:tr>
      <w:tr w:rsidR="00140FCC" w14:paraId="6D9A7F0F" w14:textId="77777777">
        <w:trPr>
          <w:trHeight w:val="126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AFB5A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1B1919"/>
              </w:rPr>
              <w:t xml:space="preserve">Form of Award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99EB6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Wooden Plaque for Each Author and a Combined Honorarium ($1000) </w:t>
            </w:r>
          </w:p>
        </w:tc>
      </w:tr>
      <w:tr w:rsidR="00140FCC" w14:paraId="7340AC8C" w14:textId="77777777">
        <w:trPr>
          <w:trHeight w:val="1056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96593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1B1919"/>
              </w:rPr>
              <w:t xml:space="preserve">Past Awardees 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8D73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 </w:t>
            </w:r>
          </w:p>
          <w:p w14:paraId="68612E78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See table below </w:t>
            </w:r>
          </w:p>
        </w:tc>
      </w:tr>
    </w:tbl>
    <w:p w14:paraId="132879D6" w14:textId="77777777" w:rsidR="00140FCC" w:rsidRDefault="003F4978">
      <w:pPr>
        <w:spacing w:after="0" w:line="259" w:lineRule="auto"/>
        <w:ind w:left="0" w:firstLine="0"/>
        <w:jc w:val="both"/>
      </w:pPr>
      <w:r>
        <w:rPr>
          <w:b/>
          <w:color w:val="1B1919"/>
          <w:sz w:val="32"/>
        </w:rPr>
        <w:t xml:space="preserve"> </w:t>
      </w:r>
    </w:p>
    <w:tbl>
      <w:tblPr>
        <w:tblStyle w:val="TableGrid"/>
        <w:tblW w:w="9316" w:type="dxa"/>
        <w:tblInd w:w="10" w:type="dxa"/>
        <w:tblCellMar>
          <w:top w:w="117" w:type="dxa"/>
          <w:left w:w="10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66"/>
        <w:gridCol w:w="8550"/>
      </w:tblGrid>
      <w:tr w:rsidR="00140FCC" w14:paraId="44E99A5B" w14:textId="77777777">
        <w:trPr>
          <w:trHeight w:val="114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CDB4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2023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2664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Vernica, T., Aher, G., </w:t>
            </w:r>
            <w:proofErr w:type="spellStart"/>
            <w:r>
              <w:rPr>
                <w:color w:val="222222"/>
                <w:sz w:val="20"/>
              </w:rPr>
              <w:t>Veluri</w:t>
            </w:r>
            <w:proofErr w:type="spellEnd"/>
            <w:r>
              <w:rPr>
                <w:color w:val="222222"/>
                <w:sz w:val="20"/>
              </w:rPr>
              <w:t xml:space="preserve">, B., &amp; Ramanujan, D. (2023, August). LCAD: A Framework for </w:t>
            </w:r>
          </w:p>
          <w:p w14:paraId="2F33A66B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Coupling Computer-Aided Design and Life Cycle Analysis Visualizations. In </w:t>
            </w:r>
            <w:r>
              <w:rPr>
                <w:i/>
                <w:color w:val="222222"/>
                <w:sz w:val="20"/>
              </w:rPr>
              <w:t xml:space="preserve">International </w:t>
            </w:r>
          </w:p>
          <w:p w14:paraId="6B841369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i/>
                <w:color w:val="222222"/>
                <w:sz w:val="20"/>
              </w:rPr>
              <w:t>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87332, p. V005T05A007).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73CD04FE" w14:textId="77777777">
        <w:trPr>
          <w:trHeight w:val="114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36E99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2022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BFBE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Albor, G., </w:t>
            </w:r>
            <w:proofErr w:type="spellStart"/>
            <w:r>
              <w:rPr>
                <w:color w:val="222222"/>
                <w:sz w:val="20"/>
              </w:rPr>
              <w:t>Mirkouei</w:t>
            </w:r>
            <w:proofErr w:type="spellEnd"/>
            <w:r>
              <w:rPr>
                <w:color w:val="222222"/>
                <w:sz w:val="20"/>
              </w:rPr>
              <w:t>, A., &amp; Struhs, E. (2022, August). Mixed Plastic Waste Conversion to Value-</w:t>
            </w:r>
          </w:p>
          <w:p w14:paraId="6736C5E5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Added Products: Sustainability Assessment and a Case Study in Idaho. In </w:t>
            </w:r>
            <w:r>
              <w:rPr>
                <w:i/>
                <w:color w:val="222222"/>
                <w:sz w:val="20"/>
              </w:rPr>
              <w:t xml:space="preserve">International </w:t>
            </w:r>
          </w:p>
          <w:p w14:paraId="3B52D548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i/>
                <w:color w:val="222222"/>
                <w:sz w:val="20"/>
              </w:rPr>
              <w:t>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86250, p. V005T05A014).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4CBF797C" w14:textId="77777777">
        <w:trPr>
          <w:trHeight w:val="137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7C50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2021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BC3D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Johnson, G. E., Fisher, M. J., Salmon, J. L., &amp; Mattson, C. A. (2021, August). Product </w:t>
            </w:r>
          </w:p>
          <w:p w14:paraId="57484C52" w14:textId="77777777" w:rsidR="00140FCC" w:rsidRDefault="003F4978">
            <w:pPr>
              <w:spacing w:after="38" w:line="240" w:lineRule="auto"/>
              <w:ind w:left="0" w:firstLine="0"/>
            </w:pPr>
            <w:r>
              <w:rPr>
                <w:color w:val="222222"/>
                <w:sz w:val="20"/>
              </w:rPr>
              <w:t xml:space="preserve">Development Using Perceived Correlations Between the United Nations Sustainable Development Goals and Social Impact Categories.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</w:t>
            </w:r>
          </w:p>
          <w:p w14:paraId="0BA4CFAB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>85413, p. V005T05A028).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5202911B" w14:textId="77777777">
        <w:trPr>
          <w:trHeight w:val="91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63E2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lastRenderedPageBreak/>
              <w:t xml:space="preserve">2020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8CD24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Thoft Krogshave, J., Boettjer, T., &amp; Ramanujan, D. (2020, August). Machine-specific energy estimation using the unit process life cycle inventory (UPLCI) model. In </w:t>
            </w:r>
            <w:r>
              <w:rPr>
                <w:i/>
                <w:color w:val="222222"/>
                <w:sz w:val="20"/>
              </w:rPr>
              <w:t xml:space="preserve">International Design Engineering Technical Conferences and Computers and Information in Engineering </w:t>
            </w:r>
          </w:p>
        </w:tc>
      </w:tr>
    </w:tbl>
    <w:p w14:paraId="47858709" w14:textId="77777777" w:rsidR="00140FCC" w:rsidRDefault="00140FCC">
      <w:pPr>
        <w:spacing w:after="0" w:line="259" w:lineRule="auto"/>
        <w:ind w:left="-1440" w:right="10738" w:firstLine="0"/>
      </w:pPr>
    </w:p>
    <w:tbl>
      <w:tblPr>
        <w:tblStyle w:val="TableGrid"/>
        <w:tblW w:w="9316" w:type="dxa"/>
        <w:tblInd w:w="10" w:type="dxa"/>
        <w:tblCellMar>
          <w:top w:w="115" w:type="dxa"/>
          <w:left w:w="10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66"/>
        <w:gridCol w:w="8550"/>
      </w:tblGrid>
      <w:tr w:rsidR="00140FCC" w14:paraId="3DF8396A" w14:textId="77777777">
        <w:trPr>
          <w:trHeight w:val="449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3005" w14:textId="77777777" w:rsidR="00140FCC" w:rsidRDefault="00140FCC">
            <w:pPr>
              <w:spacing w:after="160" w:line="259" w:lineRule="auto"/>
              <w:ind w:left="0" w:firstLine="0"/>
            </w:pP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2227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i/>
                <w:color w:val="222222"/>
                <w:sz w:val="20"/>
              </w:rPr>
              <w:t>Conference</w:t>
            </w:r>
            <w:r>
              <w:rPr>
                <w:color w:val="222222"/>
                <w:sz w:val="20"/>
              </w:rPr>
              <w:t xml:space="preserve"> (Vol. 83952, p. V006T06A031).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0FF94C69" w14:textId="77777777">
        <w:trPr>
          <w:trHeight w:val="137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6C19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2019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FE0F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Gopalakrishnan, P. K., Cavallaro, J., </w:t>
            </w:r>
            <w:proofErr w:type="spellStart"/>
            <w:r>
              <w:rPr>
                <w:color w:val="222222"/>
                <w:sz w:val="20"/>
              </w:rPr>
              <w:t>Jahanbekam</w:t>
            </w:r>
            <w:proofErr w:type="spellEnd"/>
            <w:r>
              <w:rPr>
                <w:color w:val="222222"/>
                <w:sz w:val="20"/>
              </w:rPr>
              <w:t xml:space="preserve">, S., &amp; Behdad, S. (2019, August). A graph coloring technique for identifying the minimum number of parts for physical integration in product design.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59223, p. V004T05A004).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3B5CF4F3" w14:textId="77777777">
        <w:trPr>
          <w:trHeight w:val="114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0C24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2018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FC386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Yang, S., Page, T., &amp; Zhao, Y. F. (2019). Understanding the role of additive manufacturing knowledge in stimulating design innovation for novice designers.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. American Society of Mechanical Engineers. </w:t>
            </w:r>
          </w:p>
        </w:tc>
      </w:tr>
      <w:tr w:rsidR="00140FCC" w14:paraId="5A1AC0B1" w14:textId="77777777">
        <w:trPr>
          <w:trHeight w:val="137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DF1F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2017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A818" w14:textId="77777777" w:rsidR="00140FCC" w:rsidRDefault="003F4978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222222"/>
                <w:sz w:val="20"/>
              </w:rPr>
              <w:t>Raihanian</w:t>
            </w:r>
            <w:proofErr w:type="spellEnd"/>
            <w:r>
              <w:rPr>
                <w:color w:val="222222"/>
                <w:sz w:val="20"/>
              </w:rPr>
              <w:t xml:space="preserve"> Mashhadi, A., &amp; Behdad, S. (2017, August). Demystifying the Relationship </w:t>
            </w:r>
          </w:p>
          <w:p w14:paraId="299E4FB3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>Between Use-</w:t>
            </w:r>
            <w:r>
              <w:rPr>
                <w:color w:val="222222"/>
                <w:sz w:val="20"/>
              </w:rPr>
              <w:t xml:space="preserve">Phase Attributes and Energy Consumption: A Case Study of Personal </w:t>
            </w:r>
          </w:p>
          <w:p w14:paraId="39645B99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Computers.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58165, p. V004T05A020).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1EC8F0E9" w14:textId="77777777">
        <w:trPr>
          <w:trHeight w:val="137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2469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2016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AF62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Smullin, M. M., Haapala, K. R., Mani, M., &amp; Morris, K. C. (2016, August). Using industry focus groups and literature review to identify challenges in sustainable assessment theory and practice.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50145, p. V004T05A048).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44266CFA" w14:textId="77777777">
        <w:trPr>
          <w:trHeight w:val="137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D7DD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2015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BFC20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Garretson, I. C., Lyons, K. W., Mani, M., Leong, S., Carter, M. D., Simmons, A. E., &amp; Haapala, </w:t>
            </w:r>
          </w:p>
          <w:p w14:paraId="4F440C00" w14:textId="77777777" w:rsidR="00140FCC" w:rsidRDefault="003F4978">
            <w:pPr>
              <w:spacing w:after="37" w:line="241" w:lineRule="auto"/>
              <w:ind w:left="0" w:firstLine="0"/>
            </w:pPr>
            <w:r>
              <w:rPr>
                <w:color w:val="222222"/>
                <w:sz w:val="20"/>
              </w:rPr>
              <w:t xml:space="preserve">K. R. (2015, August). Unit Manufacturing Process Models for Ferromagnetic and </w:t>
            </w:r>
            <w:proofErr w:type="spellStart"/>
            <w:r>
              <w:rPr>
                <w:color w:val="222222"/>
                <w:sz w:val="20"/>
              </w:rPr>
              <w:t>NonFerromagnetic</w:t>
            </w:r>
            <w:proofErr w:type="spellEnd"/>
            <w:r>
              <w:rPr>
                <w:color w:val="222222"/>
                <w:sz w:val="20"/>
              </w:rPr>
              <w:t xml:space="preserve"> Alloy Surface Inspection Methods.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</w:t>
            </w:r>
          </w:p>
          <w:p w14:paraId="008D3492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>57113, p. V004T05A044).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43B0432A" w14:textId="77777777">
        <w:trPr>
          <w:trHeight w:val="49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858C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2014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F8D0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To be added </w:t>
            </w:r>
          </w:p>
        </w:tc>
      </w:tr>
      <w:tr w:rsidR="00140FCC" w14:paraId="09548A36" w14:textId="77777777">
        <w:trPr>
          <w:trHeight w:val="137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88E8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2013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26A4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Ramanujan, D., Benjamin, W., Bernstein, W. Z., Elmqvist, N., &amp; Ramani, K. (2013, August). </w:t>
            </w:r>
          </w:p>
          <w:p w14:paraId="4DB92CCE" w14:textId="77777777" w:rsidR="00140FCC" w:rsidRDefault="003F4978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222222"/>
                <w:sz w:val="20"/>
              </w:rPr>
              <w:t>ShapeSIFT</w:t>
            </w:r>
            <w:proofErr w:type="spellEnd"/>
            <w:r>
              <w:rPr>
                <w:color w:val="222222"/>
                <w:sz w:val="20"/>
              </w:rPr>
              <w:t xml:space="preserve">: Suggesting sustainable options in design reuse from part repositories. In </w:t>
            </w:r>
          </w:p>
          <w:p w14:paraId="53F8C2C3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55911, p. V004T05A041).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414F944F" w14:textId="77777777">
        <w:trPr>
          <w:trHeight w:val="137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E527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lastRenderedPageBreak/>
              <w:t xml:space="preserve">2012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D11A" w14:textId="77777777" w:rsidR="00140FCC" w:rsidRDefault="003F4978">
            <w:pPr>
              <w:spacing w:after="0" w:line="259" w:lineRule="auto"/>
              <w:ind w:left="0" w:right="46" w:firstLine="0"/>
            </w:pPr>
            <w:r>
              <w:rPr>
                <w:color w:val="222222"/>
                <w:sz w:val="20"/>
              </w:rPr>
              <w:t xml:space="preserve">Esterman Jr, M., Fumagalli, M. E., Thorn, B., &amp; Babbitt, C. (2012, August). A framework for the integration of system engineering and functional analysis techniques to the goal and scope of life cycle assessment.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45042, pp. 777-787). American Society of Mechanical Engineers.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281B6024" w14:textId="77777777">
        <w:trPr>
          <w:trHeight w:val="49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6794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2011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75A2E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1B1919"/>
              </w:rPr>
              <w:t xml:space="preserve">To be added </w:t>
            </w:r>
          </w:p>
        </w:tc>
      </w:tr>
      <w:tr w:rsidR="00140FCC" w14:paraId="4D8BAF13" w14:textId="77777777">
        <w:trPr>
          <w:trHeight w:val="1138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1F38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2010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E6E86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Zhao, Y., &amp; Thurston, D. (2010, January). Integrating end-of-life and initial profit </w:t>
            </w:r>
          </w:p>
          <w:p w14:paraId="1C92F9F3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considerations in product life cycle design. In </w:t>
            </w:r>
            <w:r>
              <w:rPr>
                <w:i/>
                <w:color w:val="222222"/>
                <w:sz w:val="20"/>
              </w:rPr>
              <w:t xml:space="preserve">International Design Engineering Technical Conferences and Computers and Information in Engineering </w:t>
            </w:r>
            <w:proofErr w:type="gramStart"/>
            <w:r>
              <w:rPr>
                <w:i/>
                <w:color w:val="222222"/>
                <w:sz w:val="20"/>
              </w:rPr>
              <w:t>Conference</w:t>
            </w:r>
            <w:r>
              <w:rPr>
                <w:color w:val="222222"/>
                <w:sz w:val="20"/>
              </w:rPr>
              <w:t>(</w:t>
            </w:r>
            <w:proofErr w:type="gramEnd"/>
            <w:r>
              <w:rPr>
                <w:color w:val="222222"/>
                <w:sz w:val="20"/>
              </w:rPr>
              <w:t>Vol. 44144, pp. 435447).</w:t>
            </w:r>
            <w:r>
              <w:rPr>
                <w:color w:val="1B1919"/>
              </w:rPr>
              <w:t xml:space="preserve"> </w:t>
            </w:r>
          </w:p>
        </w:tc>
      </w:tr>
      <w:tr w:rsidR="00140FCC" w14:paraId="444F4E05" w14:textId="77777777">
        <w:trPr>
          <w:trHeight w:val="91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56E7" w14:textId="77777777" w:rsidR="00140FCC" w:rsidRDefault="003F4978">
            <w:pPr>
              <w:spacing w:after="0" w:line="259" w:lineRule="auto"/>
              <w:ind w:left="0" w:firstLine="0"/>
              <w:jc w:val="both"/>
            </w:pPr>
            <w:r>
              <w:rPr>
                <w:color w:val="1B1919"/>
              </w:rPr>
              <w:t xml:space="preserve">2009 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9E14" w14:textId="77777777" w:rsidR="00140FCC" w:rsidRDefault="003F4978">
            <w:pPr>
              <w:spacing w:after="0" w:line="259" w:lineRule="auto"/>
              <w:ind w:left="0" w:firstLine="0"/>
            </w:pPr>
            <w:r>
              <w:rPr>
                <w:color w:val="222222"/>
                <w:sz w:val="20"/>
              </w:rPr>
              <w:t xml:space="preserve">Zhao, Y., Pandey, V., Kim, H., &amp; Thurston, D. (2009, January). Varying lifecycle lengths within a portfolio for product take-back. In </w:t>
            </w:r>
            <w:r>
              <w:rPr>
                <w:i/>
                <w:color w:val="222222"/>
                <w:sz w:val="20"/>
              </w:rPr>
              <w:t>International Design Engineering Technical Conferences and Computers and Information in Engineering Conference</w:t>
            </w:r>
            <w:r>
              <w:rPr>
                <w:color w:val="222222"/>
                <w:sz w:val="20"/>
              </w:rPr>
              <w:t xml:space="preserve"> (Vol. 49057, pp. 323-335).</w:t>
            </w:r>
            <w:r>
              <w:rPr>
                <w:color w:val="1B1919"/>
              </w:rPr>
              <w:t xml:space="preserve"> </w:t>
            </w:r>
          </w:p>
        </w:tc>
      </w:tr>
    </w:tbl>
    <w:p w14:paraId="11356227" w14:textId="3C7B8C92" w:rsidR="00140FCC" w:rsidRDefault="003F4978" w:rsidP="003F4978">
      <w:pPr>
        <w:spacing w:after="252" w:line="259" w:lineRule="auto"/>
        <w:ind w:left="0" w:firstLine="0"/>
      </w:pPr>
      <w:r>
        <w:rPr>
          <w:b/>
          <w:sz w:val="32"/>
        </w:rPr>
        <w:t xml:space="preserve"> </w:t>
      </w:r>
    </w:p>
    <w:sectPr w:rsidR="00140FCC">
      <w:pgSz w:w="12240" w:h="15840"/>
      <w:pgMar w:top="1450" w:right="1502" w:bottom="15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CC"/>
    <w:rsid w:val="00140FCC"/>
    <w:rsid w:val="003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9654"/>
  <w15:docId w15:val="{BDDC998C-AB7C-4A27-9957-D7B053D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Zlatnik</dc:creator>
  <cp:keywords/>
  <cp:lastModifiedBy>Barbara Zlatnik</cp:lastModifiedBy>
  <cp:revision>2</cp:revision>
  <cp:lastPrinted>2024-01-08T15:54:00Z</cp:lastPrinted>
  <dcterms:created xsi:type="dcterms:W3CDTF">2024-01-08T15:54:00Z</dcterms:created>
  <dcterms:modified xsi:type="dcterms:W3CDTF">2024-01-08T15:54:00Z</dcterms:modified>
</cp:coreProperties>
</file>